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73" w:rsidRDefault="00363F73">
      <w:pPr>
        <w:pStyle w:val="ConsPlusNormal"/>
        <w:jc w:val="both"/>
        <w:outlineLvl w:val="0"/>
      </w:pPr>
      <w:bookmarkStart w:id="0" w:name="_GoBack"/>
      <w:bookmarkEnd w:id="0"/>
    </w:p>
    <w:p w:rsidR="00363F73" w:rsidRDefault="00363F73">
      <w:pPr>
        <w:pStyle w:val="ConsPlusNormal"/>
        <w:ind w:firstLine="540"/>
        <w:jc w:val="both"/>
      </w:pPr>
      <w:r>
        <w:rPr>
          <w:b/>
          <w:bCs/>
        </w:rPr>
        <w:t>Вопрос:</w:t>
      </w:r>
      <w:r>
        <w:t xml:space="preserve"> Об НДС и налоге на прибыль в отношении услуг, оказанных до 01.01.2019.</w:t>
      </w:r>
    </w:p>
    <w:p w:rsidR="00363F73" w:rsidRDefault="00363F73">
      <w:pPr>
        <w:pStyle w:val="ConsPlusNormal"/>
        <w:jc w:val="both"/>
      </w:pPr>
    </w:p>
    <w:p w:rsidR="00363F73" w:rsidRDefault="00363F73">
      <w:pPr>
        <w:pStyle w:val="ConsPlusNormal"/>
        <w:ind w:firstLine="540"/>
        <w:jc w:val="both"/>
      </w:pPr>
      <w:r>
        <w:rPr>
          <w:b/>
          <w:bCs/>
        </w:rPr>
        <w:t>Ответ:</w:t>
      </w:r>
    </w:p>
    <w:p w:rsidR="00363F73" w:rsidRDefault="00363F73">
      <w:pPr>
        <w:pStyle w:val="ConsPlusTitle"/>
        <w:spacing w:before="200"/>
        <w:jc w:val="center"/>
      </w:pPr>
      <w:r>
        <w:t>МИНИСТЕРСТВО ФИНАНСОВ РОССИЙСКОЙ ФЕДЕРАЦИИ</w:t>
      </w:r>
    </w:p>
    <w:p w:rsidR="00363F73" w:rsidRDefault="00363F73">
      <w:pPr>
        <w:pStyle w:val="ConsPlusTitle"/>
        <w:jc w:val="center"/>
      </w:pPr>
    </w:p>
    <w:p w:rsidR="00363F73" w:rsidRDefault="00363F73">
      <w:pPr>
        <w:pStyle w:val="ConsPlusTitle"/>
        <w:jc w:val="center"/>
      </w:pPr>
      <w:r>
        <w:t>ПИСЬМО</w:t>
      </w:r>
    </w:p>
    <w:p w:rsidR="00363F73" w:rsidRDefault="00363F73">
      <w:pPr>
        <w:pStyle w:val="ConsPlusTitle"/>
        <w:jc w:val="center"/>
      </w:pPr>
      <w:r>
        <w:t>от 2 августа 2019 г. N 03-07-11/58375</w:t>
      </w:r>
    </w:p>
    <w:p w:rsidR="00363F73" w:rsidRDefault="00363F73">
      <w:pPr>
        <w:pStyle w:val="ConsPlusNormal"/>
        <w:jc w:val="both"/>
      </w:pPr>
    </w:p>
    <w:p w:rsidR="00363F73" w:rsidRDefault="00363F73">
      <w:pPr>
        <w:pStyle w:val="ConsPlusNormal"/>
        <w:ind w:firstLine="540"/>
        <w:jc w:val="both"/>
      </w:pPr>
      <w:r>
        <w:t>В связи с письмом о применении налога на добавленную стоимость (далее - НДС) и налога на прибыль организаций в отношении услуг, оказанных до 1 января 2019 года, Департамент налоговой и таможенной политики сообщает.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3 августа 2018 г. N 303-ФЗ "О внесении изменений в отдельные законодательные акты Российской Федерации о налогах и сборах" (далее - Федеральный закон) предусмотрено повышение с 1 января 2019 года размера ставки НДС с 18 до 20 процентов.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Согласно </w:t>
      </w:r>
      <w:hyperlink r:id="rId8" w:history="1">
        <w:r>
          <w:rPr>
            <w:color w:val="0000FF"/>
          </w:rPr>
          <w:t>пункту 4 статьи 5</w:t>
        </w:r>
      </w:hyperlink>
      <w:r>
        <w:t xml:space="preserve"> Федерального закона ставка НДС в размере 20 процентов применяется в отношении товаров (работ, услуг), имущественных прав, отгруженных (выполненных, оказанных), переданных начиная с 1 января 2019 года. При этом Федеральный </w:t>
      </w:r>
      <w:hyperlink r:id="rId9" w:history="1">
        <w:r>
          <w:rPr>
            <w:color w:val="0000FF"/>
          </w:rPr>
          <w:t>закон</w:t>
        </w:r>
      </w:hyperlink>
      <w:r>
        <w:t xml:space="preserve"> не изменяет момент определения налоговой базы в отношении операций по реализации товаров (выполнению работ, оказанию услуг).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>В связи с этим в отношении услуг, момент определения налоговой базы по которым возникал до 1 января 2019 года, применяется ставка НДС в размере 18 процентов.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Согласно </w:t>
      </w:r>
      <w:hyperlink r:id="rId10" w:history="1">
        <w:r>
          <w:rPr>
            <w:color w:val="0000FF"/>
          </w:rPr>
          <w:t>абзацу первому пункта 3 статьи 168 главы 21</w:t>
        </w:r>
      </w:hyperlink>
      <w:r>
        <w:t xml:space="preserve"> "Налог на добавленную стоимость" Налогового кодекса Российской Федерации (далее - Кодекс) при реализации товаров (работ, услуг), передаче имущественных прав выставляются соответствующие счета-фактуры не позднее пяти календарных дней, считая со дня отгрузки товара (выполнения работ, оказания услуг), со дня передачи имущественных прав.</w:t>
      </w:r>
    </w:p>
    <w:p w:rsidR="00363F73" w:rsidRDefault="00363F73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3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F73" w:rsidRDefault="00363F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F73" w:rsidRDefault="00363F7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3F73" w:rsidRDefault="00363F7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363F73" w:rsidRDefault="00363F7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В тексте документа, видимо, допущена опечатка: имеются в виду </w:t>
            </w:r>
            <w:hyperlink r:id="rId11" w:history="1">
              <w:r>
                <w:rPr>
                  <w:color w:val="0000FF"/>
                </w:rPr>
                <w:t>пункты 5</w:t>
              </w:r>
            </w:hyperlink>
            <w:r>
              <w:rPr>
                <w:color w:val="392C69"/>
              </w:rPr>
              <w:t xml:space="preserve"> и </w:t>
            </w:r>
            <w:hyperlink r:id="rId12" w:history="1">
              <w:r>
                <w:rPr>
                  <w:color w:val="0000FF"/>
                </w:rPr>
                <w:t>6 статьи 169</w:t>
              </w:r>
            </w:hyperlink>
            <w:r>
              <w:rPr>
                <w:color w:val="392C69"/>
              </w:rPr>
              <w:t xml:space="preserve"> НК РФ, а не подпункты 5 и 6.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F73" w:rsidRDefault="00363F73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363F73" w:rsidRDefault="00363F73">
      <w:pPr>
        <w:pStyle w:val="ConsPlusNormal"/>
        <w:spacing w:before="260"/>
        <w:ind w:firstLine="540"/>
        <w:jc w:val="both"/>
      </w:pPr>
      <w:hyperlink r:id="rId13" w:history="1">
        <w:r>
          <w:rPr>
            <w:color w:val="0000FF"/>
          </w:rPr>
          <w:t>Пунктом 1 статьи 169</w:t>
        </w:r>
      </w:hyperlink>
      <w:r>
        <w:t xml:space="preserve"> Кодекса предусмотрено, что счет-фактура является документом, служащим основанием для принятия покупателем предъявленных продавцом товаров (работ, услуг), имущественных прав сумм НДС к вычету в порядке, предусмотренном главой 21 Кодекса. Перечень реквизитов, которые должны быть указаны в счетах-фактурах, выставляемых при реализации товаров (работ, услуг), передаче имущественных прав, установлен подпунктами 5 и 6 статьи 169 Кодекса.</w:t>
      </w:r>
    </w:p>
    <w:p w:rsidR="00363F73" w:rsidRDefault="00363F73">
      <w:pPr>
        <w:pStyle w:val="ConsPlusNormal"/>
        <w:spacing w:before="200"/>
        <w:ind w:firstLine="540"/>
        <w:jc w:val="both"/>
      </w:pPr>
      <w:hyperlink r:id="rId14" w:history="1">
        <w:r>
          <w:rPr>
            <w:color w:val="0000FF"/>
          </w:rPr>
          <w:t>Подпунктами 10</w:t>
        </w:r>
      </w:hyperlink>
      <w:r>
        <w:t xml:space="preserve"> и </w:t>
      </w:r>
      <w:hyperlink r:id="rId15" w:history="1">
        <w:r>
          <w:rPr>
            <w:color w:val="0000FF"/>
          </w:rPr>
          <w:t>11 пункта 5 статьи 169</w:t>
        </w:r>
      </w:hyperlink>
      <w:r>
        <w:t xml:space="preserve"> Кодекса установлено, что в счете-фактуре должны быть указаны ставка НДС и сумма НДС, предъявляемая покупателю товаров (работ, услуг), определяемая исходя из применяемых налоговых ставок.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На основании </w:t>
      </w:r>
      <w:hyperlink r:id="rId16" w:history="1">
        <w:r>
          <w:rPr>
            <w:color w:val="0000FF"/>
          </w:rPr>
          <w:t>абзаца второго пункта 2 статьи 169</w:t>
        </w:r>
      </w:hyperlink>
      <w:r>
        <w:t xml:space="preserve"> Кодекса ошибки в счетах-фактурах, препятствующие налоговым органам при проведении налоговой проверки идентифицировать налоговую ставку, являются основанием для отказа в принятии к вычету сумм НДС.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Таким образом, в случае указания в </w:t>
      </w:r>
      <w:hyperlink r:id="rId17" w:history="1">
        <w:r>
          <w:rPr>
            <w:color w:val="0000FF"/>
          </w:rPr>
          <w:t>счете-фактуре</w:t>
        </w:r>
      </w:hyperlink>
      <w:r>
        <w:t xml:space="preserve"> неверной налоговой ставки данный счет-фактура является не соответствующим требованиям </w:t>
      </w:r>
      <w:hyperlink r:id="rId18" w:history="1">
        <w:r>
          <w:rPr>
            <w:color w:val="0000FF"/>
          </w:rPr>
          <w:t>подпунктов 10</w:t>
        </w:r>
      </w:hyperlink>
      <w:r>
        <w:t xml:space="preserve"> и </w:t>
      </w:r>
      <w:hyperlink r:id="rId19" w:history="1">
        <w:r>
          <w:rPr>
            <w:color w:val="0000FF"/>
          </w:rPr>
          <w:t>11 пункта 5 статьи 169</w:t>
        </w:r>
      </w:hyperlink>
      <w:r>
        <w:t xml:space="preserve"> Кодекса и не может признаваться основанием для принятия предъявленных сумм НДС к вычету.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В отношении применения вычетов по НДС следует отметить, что согласно </w:t>
      </w:r>
      <w:hyperlink r:id="rId20" w:history="1">
        <w:r>
          <w:rPr>
            <w:color w:val="0000FF"/>
          </w:rPr>
          <w:t>пункту 2 статьи 171</w:t>
        </w:r>
      </w:hyperlink>
      <w:r>
        <w:t xml:space="preserve"> и </w:t>
      </w:r>
      <w:hyperlink r:id="rId21" w:history="1">
        <w:r>
          <w:rPr>
            <w:color w:val="0000FF"/>
          </w:rPr>
          <w:t>пункту 1 статьи 172</w:t>
        </w:r>
      </w:hyperlink>
      <w:r>
        <w:t xml:space="preserve"> Кодекса вычетам подлежат суммы НДС, предъявленные налогоплательщику при приобретении на территории Российской Федерации товаров (работ, услуг), в случае приобретения этих товаров (работ, услуг) для осуществления операций, облагаемых НДС. Налоговые вычеты производятся на основании счетов-фактур, выставленных продавцами при приобретении налогоплательщиком товаров (работ, услуг), после принятия на учет таких товаров (работ, услуг) и при наличии соответствующих первичных документов.</w:t>
      </w:r>
    </w:p>
    <w:p w:rsidR="00363F73" w:rsidRDefault="00363F73">
      <w:pPr>
        <w:pStyle w:val="ConsPlusNormal"/>
        <w:spacing w:before="200"/>
        <w:ind w:firstLine="540"/>
        <w:jc w:val="both"/>
      </w:pPr>
      <w:hyperlink r:id="rId22" w:history="1">
        <w:r>
          <w:rPr>
            <w:color w:val="0000FF"/>
          </w:rPr>
          <w:t>Пунктом 1.1 статьи 172</w:t>
        </w:r>
      </w:hyperlink>
      <w:r>
        <w:t xml:space="preserve"> Кодекса установлено, что налоговые вычеты, предусмотренные </w:t>
      </w:r>
      <w:hyperlink r:id="rId23" w:history="1">
        <w:r>
          <w:rPr>
            <w:color w:val="0000FF"/>
          </w:rPr>
          <w:t>пунктом 2 статьи 171</w:t>
        </w:r>
      </w:hyperlink>
      <w:r>
        <w:t xml:space="preserve"> Кодекса, могут быть заявлены в налоговых периодах в пределах трех лет после принятия на учет приобретенных налогоплательщиком на территории Российской Федерации товаров (работ, услуг).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>Учитывая изложенное, суммы НДС, предъявленные налогоплательщику при приобретении товаров (работ, услуг), могут быть заявлены к вычету в налоговых периодах в пределах трех лет после принятия на учет данных товаров (работ, услуг).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Что касается налога на прибыль организаций, то согласно </w:t>
      </w:r>
      <w:hyperlink r:id="rId24" w:history="1">
        <w:r>
          <w:rPr>
            <w:color w:val="0000FF"/>
          </w:rPr>
          <w:t>статье 272 главы 25</w:t>
        </w:r>
      </w:hyperlink>
      <w:r>
        <w:t xml:space="preserve"> "Налог на прибыль организаций" Кодекса расходы, принимаемые для целей налогообложения с учетом положений главы 25 Кодекса, признаются таковыми в том отчетном (налоговом) периоде, к которому они относятся, независимо от времени фактической выплаты денежных средств и (или) иной формы их оплаты, если иное не предусмотрено </w:t>
      </w:r>
      <w:hyperlink r:id="rId25" w:history="1">
        <w:r>
          <w:rPr>
            <w:color w:val="0000FF"/>
          </w:rPr>
          <w:t>пунктом 1.1 данной статьи</w:t>
        </w:r>
      </w:hyperlink>
      <w:r>
        <w:t xml:space="preserve">, и определяются с учетом положений </w:t>
      </w:r>
      <w:hyperlink r:id="rId26" w:history="1">
        <w:r>
          <w:rPr>
            <w:color w:val="0000FF"/>
          </w:rPr>
          <w:t>статей 318</w:t>
        </w:r>
      </w:hyperlink>
      <w:r>
        <w:t xml:space="preserve"> - </w:t>
      </w:r>
      <w:hyperlink r:id="rId27" w:history="1">
        <w:r>
          <w:rPr>
            <w:color w:val="0000FF"/>
          </w:rPr>
          <w:t>320</w:t>
        </w:r>
      </w:hyperlink>
      <w:r>
        <w:t xml:space="preserve"> Кодекса. Расходы признаются в том отчетном (налоговом) периоде, в котором эти расходы возникают исходя из условий сделок.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28" w:history="1">
        <w:r>
          <w:rPr>
            <w:color w:val="0000FF"/>
          </w:rPr>
          <w:t>подпунктом 6 пункта 1 статьи 254</w:t>
        </w:r>
      </w:hyperlink>
      <w:r>
        <w:t xml:space="preserve"> Кодекса затраты налогоплательщика на приобретение работ и услуг производственного характера, выполняемых сторонними организациями или индивидуальными предпринимателями, признаются материальными расходами, и датой осуществления таких расходов признается дата подписания акта приемки-передачи (</w:t>
      </w:r>
      <w:hyperlink r:id="rId29" w:history="1">
        <w:r>
          <w:rPr>
            <w:color w:val="0000FF"/>
          </w:rPr>
          <w:t>пункт 2 статьи 272</w:t>
        </w:r>
      </w:hyperlink>
      <w:r>
        <w:t xml:space="preserve"> Кодекса).</w:t>
      </w:r>
    </w:p>
    <w:p w:rsidR="00363F73" w:rsidRDefault="00363F73">
      <w:pPr>
        <w:pStyle w:val="ConsPlusNormal"/>
        <w:spacing w:before="200"/>
        <w:ind w:firstLine="540"/>
        <w:jc w:val="both"/>
      </w:pPr>
      <w:hyperlink r:id="rId30" w:history="1">
        <w:r>
          <w:rPr>
            <w:color w:val="0000FF"/>
          </w:rPr>
          <w:t>Подпунктом 3 пункта 7 статьи 272</w:t>
        </w:r>
      </w:hyperlink>
      <w:r>
        <w:t xml:space="preserve"> Кодекса определено, что датой осуществления прочих расходов признается дата расчетов в соответствии с условиями заключенных договоров или дата предъявления налогоплательщику документов, служащих основанием для произведения расчетов, либо последний день отчетного (налогового) периода - для расходов на оплату сторонним организациям за выполненные ими работы (предоставленные услуги).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>При этом под датой предъявления налогоплательщику документов, служащих основанием для произведения расчетов, следует понимать дату составления указанных документов.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При этом согласно </w:t>
      </w:r>
      <w:hyperlink r:id="rId31" w:history="1">
        <w:r>
          <w:rPr>
            <w:color w:val="0000FF"/>
          </w:rPr>
          <w:t>статье 9</w:t>
        </w:r>
      </w:hyperlink>
      <w:r>
        <w:t xml:space="preserve"> Федерального закона от 6 декабря 2011 г. N 402-ФЗ "О бухгалтерском учете" каждый факт хозяйственной жизни подлежит оформлению первичным учетным документом. Первичный учетный документ должен быть составлен при совершении факта хозяйственной жизни, а если это не представляется возможным - непосредственно после его окончания.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>В связи с этим если первичный учетный документ, подтверждающий факт оказания длящихся услуг за истекший месяц, составлен непосредственно после окончания месяца, в котором был совершен факт хозяйственной жизни, в течение разумного срока, но до даты представления декларации (до 28-го числа), то, по мнению Департамента, такие первичные документы, подтверждающие произведенные расходы, следует учитывать в том отчетном периоде, к которому они относятся, о чем должно быть указано в документе.</w:t>
      </w:r>
    </w:p>
    <w:p w:rsidR="00363F73" w:rsidRDefault="00363F73">
      <w:pPr>
        <w:pStyle w:val="ConsPlusNormal"/>
        <w:spacing w:before="200"/>
        <w:ind w:firstLine="540"/>
        <w:jc w:val="both"/>
      </w:pPr>
      <w:r>
        <w:t xml:space="preserve"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</w:t>
      </w:r>
      <w:hyperlink r:id="rId32" w:history="1">
        <w:r>
          <w:rPr>
            <w:color w:val="0000FF"/>
          </w:rPr>
          <w:t>письмом</w:t>
        </w:r>
      </w:hyperlink>
      <w:r>
        <w:t xml:space="preserve"> Минфина России от 7 августа 2007 г. N 03-02-07/2-138 направляемое письмо Департамента имеет информационно-разъяснительный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p w:rsidR="00363F73" w:rsidRDefault="00363F73">
      <w:pPr>
        <w:pStyle w:val="ConsPlusNormal"/>
        <w:jc w:val="both"/>
      </w:pPr>
    </w:p>
    <w:p w:rsidR="00363F73" w:rsidRDefault="00363F73">
      <w:pPr>
        <w:pStyle w:val="ConsPlusNormal"/>
        <w:jc w:val="right"/>
      </w:pPr>
      <w:r>
        <w:t>Заместитель директора Департамента</w:t>
      </w:r>
    </w:p>
    <w:p w:rsidR="00363F73" w:rsidRDefault="00363F73">
      <w:pPr>
        <w:pStyle w:val="ConsPlusNormal"/>
        <w:jc w:val="right"/>
      </w:pPr>
      <w:r>
        <w:t>Н.А.КУЗЬМИНА</w:t>
      </w:r>
    </w:p>
    <w:p w:rsidR="00363F73" w:rsidRDefault="00363F73">
      <w:pPr>
        <w:pStyle w:val="ConsPlusNormal"/>
      </w:pPr>
      <w:r>
        <w:t>02.08.2019</w:t>
      </w:r>
    </w:p>
    <w:p w:rsidR="00363F73" w:rsidRDefault="00363F73">
      <w:pPr>
        <w:pStyle w:val="ConsPlusNormal"/>
        <w:jc w:val="both"/>
      </w:pPr>
    </w:p>
    <w:p w:rsidR="00363F73" w:rsidRDefault="00363F73">
      <w:pPr>
        <w:pStyle w:val="ConsPlusNormal"/>
        <w:jc w:val="both"/>
      </w:pPr>
    </w:p>
    <w:p w:rsidR="00363F73" w:rsidRDefault="00363F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63F73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F73" w:rsidRDefault="00363F73">
      <w:pPr>
        <w:spacing w:after="0" w:line="240" w:lineRule="auto"/>
      </w:pPr>
      <w:r>
        <w:separator/>
      </w:r>
    </w:p>
  </w:endnote>
  <w:endnote w:type="continuationSeparator" w:id="0">
    <w:p w:rsidR="00363F73" w:rsidRDefault="00363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F73" w:rsidRDefault="00363F7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F73" w:rsidRDefault="00363F7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63F7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F73" w:rsidRDefault="00363F7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F73" w:rsidRDefault="00363F73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F73" w:rsidRDefault="00363F7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>
            <w:rPr>
              <w:rFonts w:ascii="Tahoma" w:hAnsi="Tahoma" w:cs="Tahoma"/>
            </w:rPr>
            <w:fldChar w:fldCharType="separate"/>
          </w:r>
          <w:r w:rsidR="0026414F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>
            <w:rPr>
              <w:rFonts w:ascii="Tahoma" w:hAnsi="Tahoma" w:cs="Tahoma"/>
            </w:rPr>
            <w:fldChar w:fldCharType="separate"/>
          </w:r>
          <w:r w:rsidR="0026414F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363F73" w:rsidRDefault="00363F7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F73" w:rsidRDefault="00363F73">
      <w:pPr>
        <w:spacing w:after="0" w:line="240" w:lineRule="auto"/>
      </w:pPr>
      <w:r>
        <w:separator/>
      </w:r>
    </w:p>
  </w:footnote>
  <w:footnote w:type="continuationSeparator" w:id="0">
    <w:p w:rsidR="00363F73" w:rsidRDefault="00363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63F7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F73" w:rsidRDefault="00363F7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Вопрос: Об НДС и налоге на прибыль в отношении услуг, оказанных до 01.01.2019.</w:t>
          </w:r>
          <w:r>
            <w:rPr>
              <w:rFonts w:ascii="Tahoma" w:hAnsi="Tahoma" w:cs="Tahoma"/>
              <w:sz w:val="16"/>
              <w:szCs w:val="16"/>
            </w:rPr>
            <w:br/>
            <w:t>(Письмо Минфина России от 02.08.2019 N 03...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63F73" w:rsidRDefault="00363F7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28.11.2023</w:t>
          </w:r>
        </w:p>
      </w:tc>
    </w:tr>
  </w:tbl>
  <w:p w:rsidR="00363F73" w:rsidRDefault="00363F7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63F73" w:rsidRDefault="00363F7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F73" w:rsidRDefault="00363F7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61"/>
    <w:rsid w:val="0026414F"/>
    <w:rsid w:val="00363F73"/>
    <w:rsid w:val="00AA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10121&amp;date=28.11.2023&amp;dst=100043&amp;field=134" TargetMode="External"/><Relationship Id="rId13" Type="http://schemas.openxmlformats.org/officeDocument/2006/relationships/hyperlink" Target="https://login.consultant.ru/link/?req=doc&amp;base=LAW&amp;n=328422&amp;date=28.11.2023&amp;dst=2109&amp;field=134" TargetMode="External"/><Relationship Id="rId18" Type="http://schemas.openxmlformats.org/officeDocument/2006/relationships/hyperlink" Target="https://login.consultant.ru/link/?req=doc&amp;base=LAW&amp;n=328422&amp;date=28.11.2023&amp;dst=100486&amp;field=134" TargetMode="External"/><Relationship Id="rId26" Type="http://schemas.openxmlformats.org/officeDocument/2006/relationships/hyperlink" Target="https://login.consultant.ru/link/?req=doc&amp;base=LAW&amp;n=328422&amp;date=28.11.2023&amp;dst=103121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28422&amp;date=28.11.2023&amp;dst=15455&amp;field=134" TargetMode="External"/><Relationship Id="rId34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310121&amp;date=28.11.2023&amp;dst=100017&amp;field=134" TargetMode="External"/><Relationship Id="rId12" Type="http://schemas.openxmlformats.org/officeDocument/2006/relationships/hyperlink" Target="https://login.consultant.ru/link/?req=doc&amp;base=LAW&amp;n=328422&amp;date=28.11.2023&amp;dst=9779&amp;field=134" TargetMode="External"/><Relationship Id="rId17" Type="http://schemas.openxmlformats.org/officeDocument/2006/relationships/hyperlink" Target="https://login.consultant.ru/link/?req=doc&amp;base=LAW&amp;n=316393&amp;date=28.11.2023&amp;dst=793&amp;field=134" TargetMode="External"/><Relationship Id="rId25" Type="http://schemas.openxmlformats.org/officeDocument/2006/relationships/hyperlink" Target="https://login.consultant.ru/link/?req=doc&amp;base=LAW&amp;n=328422&amp;date=28.11.2023&amp;dst=15802&amp;field=134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28422&amp;date=28.11.2023&amp;dst=6896&amp;field=134" TargetMode="External"/><Relationship Id="rId20" Type="http://schemas.openxmlformats.org/officeDocument/2006/relationships/hyperlink" Target="https://login.consultant.ru/link/?req=doc&amp;base=LAW&amp;n=328422&amp;date=28.11.2023&amp;dst=2136&amp;field=134" TargetMode="External"/><Relationship Id="rId29" Type="http://schemas.openxmlformats.org/officeDocument/2006/relationships/hyperlink" Target="https://login.consultant.ru/link/?req=doc&amp;base=LAW&amp;n=328422&amp;date=28.11.2023&amp;dst=102465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28422&amp;date=28.11.2023&amp;dst=4242&amp;field=134" TargetMode="External"/><Relationship Id="rId24" Type="http://schemas.openxmlformats.org/officeDocument/2006/relationships/hyperlink" Target="https://login.consultant.ru/link/?req=doc&amp;base=LAW&amp;n=328422&amp;date=28.11.2023&amp;dst=14427&amp;field=134" TargetMode="External"/><Relationship Id="rId32" Type="http://schemas.openxmlformats.org/officeDocument/2006/relationships/hyperlink" Target="https://login.consultant.ru/link/?req=doc&amp;base=QUEST&amp;n=54240&amp;date=28.11.2023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28422&amp;date=28.11.2023&amp;dst=2111&amp;field=134" TargetMode="External"/><Relationship Id="rId23" Type="http://schemas.openxmlformats.org/officeDocument/2006/relationships/hyperlink" Target="https://login.consultant.ru/link/?req=doc&amp;base=LAW&amp;n=328422&amp;date=28.11.2023&amp;dst=12767&amp;field=134" TargetMode="External"/><Relationship Id="rId28" Type="http://schemas.openxmlformats.org/officeDocument/2006/relationships/hyperlink" Target="https://login.consultant.ru/link/?req=doc&amp;base=LAW&amp;n=328422&amp;date=28.11.2023&amp;dst=101990&amp;field=134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328422&amp;date=28.11.2023&amp;dst=4238&amp;field=134" TargetMode="External"/><Relationship Id="rId19" Type="http://schemas.openxmlformats.org/officeDocument/2006/relationships/hyperlink" Target="https://login.consultant.ru/link/?req=doc&amp;base=LAW&amp;n=328422&amp;date=28.11.2023&amp;dst=2111&amp;field=134" TargetMode="External"/><Relationship Id="rId31" Type="http://schemas.openxmlformats.org/officeDocument/2006/relationships/hyperlink" Target="https://login.consultant.ru/link/?req=doc&amp;base=LAW&amp;n=330116&amp;date=28.11.2023&amp;dst=100078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10121&amp;date=28.11.2023" TargetMode="External"/><Relationship Id="rId14" Type="http://schemas.openxmlformats.org/officeDocument/2006/relationships/hyperlink" Target="https://login.consultant.ru/link/?req=doc&amp;base=LAW&amp;n=328422&amp;date=28.11.2023&amp;dst=100486&amp;field=134" TargetMode="External"/><Relationship Id="rId22" Type="http://schemas.openxmlformats.org/officeDocument/2006/relationships/hyperlink" Target="https://login.consultant.ru/link/?req=doc&amp;base=LAW&amp;n=328422&amp;date=28.11.2023&amp;dst=11249&amp;field=134" TargetMode="External"/><Relationship Id="rId27" Type="http://schemas.openxmlformats.org/officeDocument/2006/relationships/hyperlink" Target="https://login.consultant.ru/link/?req=doc&amp;base=LAW&amp;n=328422&amp;date=28.11.2023&amp;dst=1528&amp;field=134" TargetMode="External"/><Relationship Id="rId30" Type="http://schemas.openxmlformats.org/officeDocument/2006/relationships/hyperlink" Target="https://login.consultant.ru/link/?req=doc&amp;base=LAW&amp;n=328422&amp;date=28.11.2023&amp;dst=102475&amp;field=134" TargetMode="External"/><Relationship Id="rId35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1464</Words>
  <Characters>8349</Characters>
  <Application>Microsoft Office Word</Application>
  <DocSecurity>2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Вопрос: Об НДС и налоге на прибыль в отношении услуг, оказанных до 01.01.2019.(Письмо Минфина России от 02.08.2019 N 03-07-11/58375)</vt:lpstr>
      <vt:lpstr/>
    </vt:vector>
  </TitlesOfParts>
  <Company>КонсультантПлюс Версия 4023.00.09</Company>
  <LinksUpToDate>false</LinksUpToDate>
  <CharactersWithSpaces>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Об НДС и налоге на прибыль в отношении услуг, оказанных до 01.01.2019.(Письмо Минфина России от 02.08.2019 N 03-07-11/58375)</dc:title>
  <dc:creator>Пользователь Windows</dc:creator>
  <cp:lastModifiedBy>Пользователь Windows</cp:lastModifiedBy>
  <cp:revision>2</cp:revision>
  <dcterms:created xsi:type="dcterms:W3CDTF">2023-11-28T18:31:00Z</dcterms:created>
  <dcterms:modified xsi:type="dcterms:W3CDTF">2023-11-28T18:31:00Z</dcterms:modified>
</cp:coreProperties>
</file>