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B33" w:rsidRDefault="008A3B33">
      <w:pPr>
        <w:pStyle w:val="ConsPlusNormal"/>
        <w:outlineLvl w:val="0"/>
      </w:pPr>
      <w:bookmarkStart w:id="0" w:name="_GoBack"/>
      <w:bookmarkEnd w:id="0"/>
    </w:p>
    <w:p w:rsidR="008A3B33" w:rsidRDefault="008A3B33">
      <w:pPr>
        <w:pStyle w:val="ConsPlusNormal"/>
        <w:ind w:firstLine="540"/>
        <w:jc w:val="both"/>
      </w:pPr>
      <w:r>
        <w:rPr>
          <w:b/>
          <w:bCs/>
        </w:rPr>
        <w:t>Вопрос:</w:t>
      </w:r>
      <w:r>
        <w:t xml:space="preserve"> О требованиях к первичным учетным документам в электронном виде в целях налога на прибыль и использовании скан-образов первичных документов при регистрации в учете факта хозяйственной деятельности.</w:t>
      </w:r>
    </w:p>
    <w:p w:rsidR="008A3B33" w:rsidRDefault="008A3B33">
      <w:pPr>
        <w:pStyle w:val="ConsPlusNormal"/>
      </w:pPr>
    </w:p>
    <w:p w:rsidR="008A3B33" w:rsidRDefault="008A3B33">
      <w:pPr>
        <w:pStyle w:val="ConsPlusNormal"/>
        <w:ind w:firstLine="540"/>
        <w:jc w:val="both"/>
      </w:pPr>
      <w:r>
        <w:rPr>
          <w:b/>
          <w:bCs/>
        </w:rPr>
        <w:t>Ответ:</w:t>
      </w:r>
    </w:p>
    <w:p w:rsidR="008A3B33" w:rsidRDefault="008A3B33">
      <w:pPr>
        <w:pStyle w:val="ConsPlusTitle"/>
        <w:spacing w:before="200"/>
        <w:jc w:val="center"/>
      </w:pPr>
      <w:r>
        <w:t>МИНИСТЕРСТВО ФИНАНСОВ РОССИЙСКОЙ ФЕДЕРАЦИИ</w:t>
      </w:r>
    </w:p>
    <w:p w:rsidR="008A3B33" w:rsidRDefault="008A3B33">
      <w:pPr>
        <w:pStyle w:val="ConsPlusTitle"/>
        <w:jc w:val="center"/>
      </w:pPr>
    </w:p>
    <w:p w:rsidR="008A3B33" w:rsidRDefault="008A3B33">
      <w:pPr>
        <w:pStyle w:val="ConsPlusTitle"/>
        <w:jc w:val="center"/>
      </w:pPr>
      <w:r>
        <w:t>ПИСЬМА</w:t>
      </w:r>
    </w:p>
    <w:p w:rsidR="008A3B33" w:rsidRDefault="008A3B33">
      <w:pPr>
        <w:pStyle w:val="ConsPlusTitle"/>
        <w:jc w:val="center"/>
      </w:pPr>
      <w:r>
        <w:t>от 7 декабря 2022 г. N 03-03-06/3/119813, от 21 ноября 2022 г. N 03-03-06/1/113388</w:t>
      </w:r>
    </w:p>
    <w:p w:rsidR="008A3B33" w:rsidRDefault="008A3B33">
      <w:pPr>
        <w:pStyle w:val="ConsPlusNormal"/>
      </w:pPr>
    </w:p>
    <w:p w:rsidR="008A3B33" w:rsidRDefault="008A3B33">
      <w:pPr>
        <w:pStyle w:val="ConsPlusNormal"/>
        <w:ind w:firstLine="540"/>
        <w:jc w:val="both"/>
      </w:pPr>
      <w:r>
        <w:t>Департамент налоговой политики рассмотрел обращение и сообщает следующее.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 xml:space="preserve">Согласно </w:t>
      </w:r>
      <w:hyperlink r:id="rId7" w:history="1">
        <w:r>
          <w:rPr>
            <w:color w:val="0000FF"/>
          </w:rPr>
          <w:t>пункту 1 статьи 252</w:t>
        </w:r>
      </w:hyperlink>
      <w:r>
        <w:t xml:space="preserve"> Налогового кодекса Российской Федерации (далее - Кодекс) в целях главы 25 Кодекса налогоплательщик уменьшает полученные доходы на сумму произведенных расходов (за исключением расходов, указанных в </w:t>
      </w:r>
      <w:hyperlink r:id="rId8" w:history="1">
        <w:r>
          <w:rPr>
            <w:color w:val="0000FF"/>
          </w:rPr>
          <w:t>статье 270</w:t>
        </w:r>
      </w:hyperlink>
      <w:r>
        <w:t xml:space="preserve"> Кодекса). Расходами признаются обоснованные и документально подтвержденные затраты (а в случаях, предусмотренных </w:t>
      </w:r>
      <w:hyperlink r:id="rId9" w:history="1">
        <w:r>
          <w:rPr>
            <w:color w:val="0000FF"/>
          </w:rPr>
          <w:t>статьей 265</w:t>
        </w:r>
      </w:hyperlink>
      <w:r>
        <w:t xml:space="preserve"> Кодекса, убытки), при условии, что они произведены для осуществления деятельности, направленной на получение дохода. Под обоснованными расходами понимаются экономически оправданные затраты, оценка которых выражена в денежной форме.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>Под документально подтвержденными расходами понимаются затраты, подтвержденные документами, оформленными в соответствии с законодательством Российской Федерации, либо документами, оформленными в соответствии с обычаями делового оборота, применяемыми в иностранном государстве, на территории которого были произведены соответствующие расходы, и (или) документами, косвенно подтверждающими произведенные расходы (в том числе таможенной декларацией, приказом о командировке, проездными документами, отчетом о выполненной работе в соответствии с договором). Расходами признаются любые затраты, при условии, что они произведены для осуществления деятельности, направленной на получение дохода.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 xml:space="preserve">В соответствии со </w:t>
      </w:r>
      <w:hyperlink r:id="rId10" w:history="1">
        <w:r>
          <w:rPr>
            <w:color w:val="0000FF"/>
          </w:rPr>
          <w:t>статьей 9</w:t>
        </w:r>
      </w:hyperlink>
      <w:r>
        <w:t xml:space="preserve"> Федерального закона от 06.12.2011 N 402-ФЗ "О бухгалтерском учете" (далее - Закон N 402-ФЗ) каждый факт хозяйственной жизни подлежит оформлению первичным учетным документом. Первичный учетный документ составляется на бумажном носителе и (или) в виде электронного документа, подписанного электронной подписью. Обязательные реквизиты первичного учетного документа установлены в </w:t>
      </w:r>
      <w:hyperlink r:id="rId11" w:history="1">
        <w:r>
          <w:rPr>
            <w:color w:val="0000FF"/>
          </w:rPr>
          <w:t>пункте 2 данной статьи</w:t>
        </w:r>
      </w:hyperlink>
      <w:r>
        <w:t xml:space="preserve"> Закона N 402-ФЗ.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>Первичный учетный документ составляется на бумажном носителе и (или) в виде электронного документа, подписанного электронной подписью (</w:t>
      </w:r>
      <w:hyperlink r:id="rId12" w:history="1">
        <w:r>
          <w:rPr>
            <w:color w:val="0000FF"/>
          </w:rPr>
          <w:t>пункт 5 статьи 9</w:t>
        </w:r>
      </w:hyperlink>
      <w:r>
        <w:t xml:space="preserve"> Закона N 402-ФЗ).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 xml:space="preserve">Отношения в области использования электронных подписей при совершении гражданско-правовых сделок, оказании государственных и муниципальных услуг, исполнении государственных и муниципальных функций, при совершении иных юридически значимых действий, в том числе в случаях, установленных другими федеральными законами, регулируются Федеральным </w:t>
      </w:r>
      <w:hyperlink r:id="rId13" w:history="1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>Таким образом, для целей налогового учета первичный учетный документ в виде электронного документа должен соответствовать требованиям бухгалтерского законодательства, а также законодательства, регулирующего порядок составления электронных документов и правила их подписания электронной подписью.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>Одновременно сообщаем, что вышеуказанные нормы в их взаимосвязи не препятствуют использованию при регистрации в учете факта хозяйственной деятельности в исключительных случаях скан-образов первичных документов.</w:t>
      </w:r>
    </w:p>
    <w:p w:rsidR="008A3B33" w:rsidRDefault="008A3B33">
      <w:pPr>
        <w:pStyle w:val="ConsPlusNormal"/>
        <w:spacing w:before="200"/>
        <w:ind w:firstLine="540"/>
        <w:jc w:val="both"/>
      </w:pPr>
      <w:r>
        <w:t>При этом вышеизложенное не освобождает налогоплательщика от обязанности в дальнейшем предоставлении первичного учетного документа в бумажном или в электронном виде, оформленного в соответствии с законодательством РФ.</w:t>
      </w:r>
    </w:p>
    <w:p w:rsidR="008A3B33" w:rsidRDefault="008A3B33">
      <w:pPr>
        <w:pStyle w:val="ConsPlusNormal"/>
      </w:pPr>
    </w:p>
    <w:p w:rsidR="008A3B33" w:rsidRDefault="008A3B33">
      <w:pPr>
        <w:pStyle w:val="ConsPlusNormal"/>
        <w:jc w:val="right"/>
      </w:pPr>
      <w:r>
        <w:t>Заместитель директора Департамента</w:t>
      </w:r>
    </w:p>
    <w:p w:rsidR="008A3B33" w:rsidRDefault="008A3B33">
      <w:pPr>
        <w:pStyle w:val="ConsPlusNormal"/>
        <w:jc w:val="right"/>
      </w:pPr>
      <w:r>
        <w:t>А.А.СМИРНОВ</w:t>
      </w:r>
    </w:p>
    <w:p w:rsidR="008A3B33" w:rsidRDefault="008A3B33">
      <w:pPr>
        <w:pStyle w:val="ConsPlusNormal"/>
      </w:pPr>
    </w:p>
    <w:p w:rsidR="008A3B33" w:rsidRDefault="008A3B33">
      <w:pPr>
        <w:pStyle w:val="ConsPlusNormal"/>
      </w:pPr>
    </w:p>
    <w:sectPr w:rsidR="008A3B33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1440" w:right="566" w:bottom="1440" w:left="1133" w:header="0" w:footer="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B33" w:rsidRDefault="008A3B33">
      <w:pPr>
        <w:spacing w:after="0" w:line="240" w:lineRule="auto"/>
      </w:pPr>
      <w:r>
        <w:separator/>
      </w:r>
    </w:p>
  </w:endnote>
  <w:endnote w:type="continuationSeparator" w:id="0">
    <w:p w:rsidR="008A3B33" w:rsidRDefault="008A3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B33" w:rsidRDefault="008A3B3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8A3B33">
      <w:tblPrEx>
        <w:tblCellMar>
          <w:top w:w="0" w:type="dxa"/>
          <w:bottom w:w="0" w:type="dxa"/>
        </w:tblCellMar>
      </w:tblPrEx>
      <w:trPr>
        <w:trHeight w:hRule="exact" w:val="1663"/>
        <w:tblCellSpacing w:w="5" w:type="nil"/>
      </w:trPr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A3B33" w:rsidRDefault="008A3B33">
          <w:pPr>
            <w:pStyle w:val="ConsPlusNormal"/>
            <w:rPr>
              <w:rFonts w:ascii="Tahoma" w:hAnsi="Tahoma" w:cs="Tahoma"/>
              <w:b/>
              <w:bCs/>
              <w:color w:val="F58220"/>
              <w:sz w:val="28"/>
              <w:szCs w:val="28"/>
            </w:rPr>
          </w:pPr>
          <w:r>
            <w:rPr>
              <w:rFonts w:ascii="Tahoma" w:hAnsi="Tahoma" w:cs="Tahoma"/>
              <w:b/>
              <w:bCs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bCs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A3B33" w:rsidRDefault="008A3B33">
          <w:pPr>
            <w:pStyle w:val="ConsPlusNormal"/>
            <w:jc w:val="center"/>
            <w:rPr>
              <w:rFonts w:ascii="Tahoma" w:hAnsi="Tahoma" w:cs="Tahoma"/>
              <w:b/>
              <w:bCs/>
            </w:rPr>
          </w:pPr>
          <w:hyperlink r:id="rId1" w:history="1">
            <w:r>
              <w:rPr>
                <w:rFonts w:ascii="Tahoma" w:hAnsi="Tahoma" w:cs="Tahoma"/>
                <w:b/>
                <w:bCs/>
                <w:color w:val="0000FF"/>
              </w:rPr>
              <w:t>www.consultant.ru</w:t>
            </w:r>
          </w:hyperlink>
        </w:p>
      </w:tc>
      <w:tc>
        <w:tcPr>
          <w:tcW w:w="1650" w:type="pct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A3B33" w:rsidRDefault="008A3B33">
          <w:pPr>
            <w:pStyle w:val="ConsPlusNormal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Страница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\PAGE</w:instrText>
          </w:r>
          <w:r>
            <w:rPr>
              <w:rFonts w:ascii="Tahoma" w:hAnsi="Tahoma" w:cs="Tahoma"/>
            </w:rPr>
            <w:fldChar w:fldCharType="separate"/>
          </w:r>
          <w:r w:rsidR="00457906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rPr>
              <w:rFonts w:ascii="Tahoma" w:hAnsi="Tahoma" w:cs="Tahoma"/>
            </w:rPr>
            <w:fldChar w:fldCharType="begin"/>
          </w:r>
          <w:r>
            <w:rPr>
              <w:rFonts w:ascii="Tahoma" w:hAnsi="Tahoma" w:cs="Tahoma"/>
            </w:rPr>
            <w:instrText>\NUMPAGES</w:instrText>
          </w:r>
          <w:r>
            <w:rPr>
              <w:rFonts w:ascii="Tahoma" w:hAnsi="Tahoma" w:cs="Tahoma"/>
            </w:rPr>
            <w:fldChar w:fldCharType="separate"/>
          </w:r>
          <w:r w:rsidR="00457906">
            <w:rPr>
              <w:rFonts w:ascii="Tahoma" w:hAnsi="Tahoma" w:cs="Tahoma"/>
              <w:noProof/>
            </w:rPr>
            <w:t>2</w:t>
          </w:r>
          <w:r>
            <w:rPr>
              <w:rFonts w:ascii="Tahoma" w:hAnsi="Tahoma" w:cs="Tahoma"/>
            </w:rPr>
            <w:fldChar w:fldCharType="end"/>
          </w:r>
        </w:p>
      </w:tc>
    </w:tr>
  </w:tbl>
  <w:p w:rsidR="008A3B33" w:rsidRDefault="008A3B33">
    <w:pPr>
      <w:pStyle w:val="ConsPlusNormal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B33" w:rsidRDefault="008A3B33">
    <w:pPr>
      <w:pStyle w:val="ConsPlusNormal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B33" w:rsidRDefault="008A3B33">
      <w:pPr>
        <w:spacing w:after="0" w:line="240" w:lineRule="auto"/>
      </w:pPr>
      <w:r>
        <w:separator/>
      </w:r>
    </w:p>
  </w:footnote>
  <w:footnote w:type="continuationSeparator" w:id="0">
    <w:p w:rsidR="008A3B33" w:rsidRDefault="008A3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CellSpacing w:w="5" w:type="nil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8A3B33">
      <w:tblPrEx>
        <w:tblCellMar>
          <w:top w:w="0" w:type="dxa"/>
          <w:bottom w:w="0" w:type="dxa"/>
        </w:tblCellMar>
      </w:tblPrEx>
      <w:trPr>
        <w:trHeight w:hRule="exact" w:val="1683"/>
        <w:tblCellSpacing w:w="5" w:type="nil"/>
      </w:trPr>
      <w:tc>
        <w:tcPr>
          <w:tcW w:w="5511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A3B33" w:rsidRDefault="008A3B33">
          <w:pPr>
            <w:pStyle w:val="ConsPlusNormal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6"/>
              <w:szCs w:val="16"/>
            </w:rPr>
            <w:t>Вопрос: О требованиях к первичным учетным документам в электронном виде в целях налога на прибыль и использовании скан-о...</w:t>
          </w:r>
        </w:p>
      </w:tc>
      <w:tc>
        <w:tcPr>
          <w:tcW w:w="4695" w:type="dxa"/>
          <w:tcBorders>
            <w:top w:val="none" w:sz="2" w:space="0" w:color="auto"/>
            <w:left w:val="none" w:sz="2" w:space="0" w:color="auto"/>
            <w:bottom w:val="none" w:sz="2" w:space="0" w:color="auto"/>
            <w:right w:val="none" w:sz="2" w:space="0" w:color="auto"/>
          </w:tcBorders>
          <w:vAlign w:val="center"/>
        </w:tcPr>
        <w:p w:rsidR="008A3B33" w:rsidRDefault="008A3B33">
          <w:pPr>
            <w:pStyle w:val="ConsPlusNormal"/>
            <w:jc w:val="right"/>
            <w:rPr>
              <w:rFonts w:ascii="Tahoma" w:hAnsi="Tahoma" w:cs="Tahoma"/>
              <w:sz w:val="16"/>
              <w:szCs w:val="16"/>
            </w:rPr>
          </w:pPr>
          <w:r>
            <w:rPr>
              <w:rFonts w:ascii="Tahoma" w:hAnsi="Tahoma" w:cs="Tahoma"/>
              <w:sz w:val="18"/>
              <w:szCs w:val="18"/>
            </w:rPr>
            <w:t xml:space="preserve">Документ предоставлен </w:t>
          </w:r>
          <w:hyperlink r:id="rId1" w:history="1">
            <w:r>
              <w:rPr>
                <w:rFonts w:ascii="Tahoma" w:hAnsi="Tahoma" w:cs="Tahoma"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28.11.2023</w:t>
          </w:r>
        </w:p>
      </w:tc>
    </w:tr>
  </w:tbl>
  <w:p w:rsidR="008A3B33" w:rsidRDefault="008A3B33">
    <w:pPr>
      <w:pStyle w:val="ConsPlusNormal"/>
      <w:pBdr>
        <w:bottom w:val="single" w:sz="12" w:space="0" w:color="auto"/>
      </w:pBdr>
      <w:jc w:val="center"/>
      <w:rPr>
        <w:sz w:val="2"/>
        <w:szCs w:val="2"/>
      </w:rPr>
    </w:pPr>
  </w:p>
  <w:p w:rsidR="008A3B33" w:rsidRDefault="008A3B33">
    <w:pPr>
      <w:pStyle w:val="ConsPlusNormal"/>
    </w:pPr>
    <w:r>
      <w:rPr>
        <w:sz w:val="10"/>
        <w:szCs w:val="10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3B33" w:rsidRDefault="008A3B33">
    <w:pPr>
      <w:pStyle w:val="ConsPlusNormal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writeProtection w:recommended="1"/>
  <w:zoom w:percent="100"/>
  <w:doNotDisplayPageBoundaries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260"/>
    <w:rsid w:val="00457906"/>
    <w:rsid w:val="008A3B33"/>
    <w:rsid w:val="00F34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1983&amp;date=28.11.2023&amp;dst=102368&amp;field=134" TargetMode="External"/><Relationship Id="rId13" Type="http://schemas.openxmlformats.org/officeDocument/2006/relationships/hyperlink" Target="https://login.consultant.ru/link/?req=doc&amp;base=LAW&amp;n=422156&amp;date=28.11.2023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31983&amp;date=28.11.2023&amp;dst=101954&amp;field=134" TargetMode="External"/><Relationship Id="rId12" Type="http://schemas.openxmlformats.org/officeDocument/2006/relationships/hyperlink" Target="https://login.consultant.ru/link/?req=doc&amp;base=LAW&amp;n=389500&amp;date=28.11.2023&amp;dst=100090&amp;field=134" TargetMode="External"/><Relationship Id="rId17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389500&amp;date=28.11.2023&amp;dst=100080&amp;field=13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s://login.consultant.ru/link/?req=doc&amp;base=LAW&amp;n=389500&amp;date=28.11.2023&amp;dst=100078&amp;field=134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31983&amp;date=28.11.2023&amp;dst=102311&amp;field=134" TargetMode="Externa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632</Words>
  <Characters>3609</Characters>
  <Application>Microsoft Office Word</Application>
  <DocSecurity>2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>Вопрос: О требованиях к первичным учетным документам в электронном виде в целях налога на прибыль и использовании скан-образов первичных документов при регистрации в учете факта хозяйственной деятельности.(Письма Минфина России от 07.12.2022 N 03-03-06/3/</vt:lpstr>
      <vt:lpstr/>
    </vt:vector>
  </TitlesOfParts>
  <Company>КонсультантПлюс Версия 4023.00.09</Company>
  <LinksUpToDate>false</LinksUpToDate>
  <CharactersWithSpaces>4233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Вопрос: О требованиях к первичным учетным документам в электронном виде в целях налога на прибыль и использовании скан-образов первичных документов при регистрации в учете факта хозяйственной деятельности.(Письма Минфина России от 07.12.2022 N 03-03-06/3/</dc:title>
  <dc:creator>Пользователь Windows</dc:creator>
  <cp:lastModifiedBy>Пользователь Windows</cp:lastModifiedBy>
  <cp:revision>2</cp:revision>
  <dcterms:created xsi:type="dcterms:W3CDTF">2023-11-28T18:41:00Z</dcterms:created>
  <dcterms:modified xsi:type="dcterms:W3CDTF">2023-11-28T18:41:00Z</dcterms:modified>
</cp:coreProperties>
</file>